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0"/>
        <w:jc w:val="center"/>
        <w:rPr>
          <w:rFonts w:cs="Calibri"/>
          <w:b/>
          <w:b/>
          <w:sz w:val="20"/>
          <w:szCs w:val="20"/>
          <w:lang w:val="ru-RU" w:eastAsia="ru-RU"/>
        </w:rPr>
      </w:pPr>
      <w:r>
        <w:rPr>
          <w:rFonts w:cs="Calibri"/>
          <w:b/>
          <w:sz w:val="20"/>
          <w:szCs w:val="20"/>
          <w:lang w:val="ru-RU" w:eastAsia="ru-RU"/>
        </w:rPr>
        <w:drawing>
          <wp:anchor behindDoc="1" distT="0" distB="0" distL="114935" distR="114935" simplePos="0" locked="0" layoutInCell="1" allowOverlap="1" relativeHeight="2">
            <wp:simplePos x="0" y="0"/>
            <wp:positionH relativeFrom="column">
              <wp:posOffset>16510</wp:posOffset>
            </wp:positionH>
            <wp:positionV relativeFrom="paragraph">
              <wp:posOffset>-196215</wp:posOffset>
            </wp:positionV>
            <wp:extent cx="7560310" cy="171450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4" t="-14" r="-4" b="-14"/>
                    <a:stretch>
                      <a:fillRect/>
                    </a:stretch>
                  </pic:blipFill>
                  <pic:spPr bwMode="auto">
                    <a:xfrm>
                      <a:off x="0" y="0"/>
                      <a:ext cx="7560310" cy="1714500"/>
                    </a:xfrm>
                    <a:prstGeom prst="rect">
                      <a:avLst/>
                    </a:prstGeom>
                  </pic:spPr>
                </pic:pic>
              </a:graphicData>
            </a:graphic>
          </wp:anchor>
        </w:drawing>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60" w:after="0"/>
        <w:ind w:right="-1" w:firstLine="708"/>
        <w:jc w:val="center"/>
        <w:rPr>
          <w:rFonts w:cs="Calibri"/>
          <w:b/>
          <w:b/>
          <w:bCs/>
        </w:rPr>
      </w:pPr>
      <w:r>
        <w:rPr>
          <w:rFonts w:cs="Calibri"/>
          <w:b/>
          <w:bCs/>
        </w:rPr>
        <w:t>ИНФОРМАЦИЯ ДЛЯ ЗАЕМЩИКОВ</w:t>
      </w:r>
    </w:p>
    <w:p>
      <w:pPr>
        <w:pStyle w:val="Normal"/>
        <w:autoSpaceDE w:val="false"/>
        <w:spacing w:lineRule="auto" w:line="240" w:before="0" w:after="0"/>
        <w:jc w:val="both"/>
        <w:rPr/>
      </w:pPr>
      <w:r>
        <w:rPr>
          <w:rFonts w:cs="Calibri"/>
          <w:bCs/>
        </w:rPr>
        <w:t xml:space="preserve">                </w:t>
      </w:r>
      <w:r>
        <w:rPr>
          <w:rFonts w:cs="Calibri"/>
          <w:bCs/>
        </w:rPr>
        <w:t xml:space="preserve">В соответствии со ст. 1 </w:t>
      </w:r>
      <w:r>
        <w:rPr>
          <w:rFonts w:cs="Calibri"/>
          <w:lang w:eastAsia="ru-RU"/>
        </w:rPr>
        <w:t>Федерального закона от 07.10.2022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Pr>
          <w:rFonts w:cs="Calibri"/>
          <w:b/>
        </w:rPr>
        <w:t xml:space="preserve"> ( далее – Закон) </w:t>
      </w:r>
      <w:r>
        <w:rPr>
          <w:b/>
        </w:rPr>
        <w:t xml:space="preserve"> с требованием о предоставлении льготного периода  по кредитному договору ( далее по тексту – Требование) вправе обратиться следующие заемщики-физические лица:</w:t>
      </w:r>
    </w:p>
    <w:p>
      <w:pPr>
        <w:pStyle w:val="Normal"/>
        <w:autoSpaceDE w:val="false"/>
        <w:spacing w:lineRule="auto" w:line="240" w:before="0" w:after="0"/>
        <w:ind w:firstLine="539"/>
        <w:jc w:val="both"/>
        <w:rPr/>
      </w:pPr>
      <w:r>
        <w:rPr>
          <w:rFonts w:cs="Calibri"/>
          <w:lang w:eastAsia="ru-RU"/>
        </w:rPr>
        <w:t>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Банком до дня мобилизации кредитный договор, в том числе кредитный договор, обязательства по которому обеспечены ипотекой (далее - кредитный договор);</w:t>
      </w:r>
    </w:p>
    <w:p>
      <w:pPr>
        <w:pStyle w:val="Normal"/>
        <w:autoSpaceDE w:val="false"/>
        <w:spacing w:lineRule="auto" w:line="240" w:before="0" w:after="0"/>
        <w:ind w:firstLine="539"/>
        <w:jc w:val="both"/>
        <w:rPr/>
      </w:pPr>
      <w:r>
        <w:rPr>
          <w:rFonts w:cs="Calibri"/>
          <w:lang w:eastAsia="ru-RU"/>
        </w:rPr>
        <w:t xml:space="preserve">2)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w:t>
      </w:r>
      <w:hyperlink r:id="rId3">
        <w:r>
          <w:rPr>
            <w:rStyle w:val="InternetLink"/>
            <w:rFonts w:cs="Calibri"/>
            <w:lang w:eastAsia="ru-RU"/>
          </w:rPr>
          <w:t>пункте 6 статьи 1</w:t>
        </w:r>
      </w:hyperlink>
      <w:r>
        <w:rPr>
          <w:rFonts w:cs="Calibri"/>
          <w:lang w:eastAsia="ru-RU"/>
        </w:rPr>
        <w:t xml:space="preserve"> Федерального закона от 31 мая 1996 года N 61-ФЗ "Об обороне", при условии его участия в специальной военной операции на территориях Украины, Донецкой Народной Республики и Луганской Народной Республики, заключившие с до дня участия лица в специальной военной операции на территориях Украины, Донецкой Народной Республики и Луганской Народной Республики (далее - специальная военная операция) кредитный договор;</w:t>
      </w:r>
    </w:p>
    <w:p>
      <w:pPr>
        <w:pStyle w:val="Normal"/>
        <w:autoSpaceDE w:val="false"/>
        <w:spacing w:lineRule="auto" w:line="240" w:before="0" w:after="0"/>
        <w:ind w:firstLine="540"/>
        <w:jc w:val="both"/>
        <w:rPr/>
      </w:pPr>
      <w:bookmarkStart w:id="0" w:name="Par4"/>
      <w:bookmarkEnd w:id="0"/>
      <w:r>
        <w:rPr>
          <w:rFonts w:cs="Calibri"/>
          <w:lang w:eastAsia="ru-RU"/>
        </w:rPr>
        <w:t xml:space="preserve">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w:t>
      </w:r>
      <w:r>
        <w:rPr>
          <w:rFonts w:cs="Calibri"/>
        </w:rPr>
        <w:t>или войска национальной гвардии Российской Федерации</w:t>
      </w:r>
      <w:r>
        <w:rPr>
          <w:rFonts w:cs="Calibri"/>
          <w:lang w:eastAsia="ru-RU"/>
        </w:rPr>
        <w:t>, и заключившее с Банком до дня подписания контракта кредитный договор;</w:t>
      </w:r>
    </w:p>
    <w:p>
      <w:pPr>
        <w:pStyle w:val="Normal"/>
        <w:autoSpaceDE w:val="false"/>
        <w:spacing w:lineRule="auto" w:line="240" w:before="0" w:after="0"/>
        <w:jc w:val="both"/>
        <w:rPr/>
      </w:pPr>
      <w:r>
        <w:rPr>
          <w:rFonts w:cs="Calibri"/>
          <w:lang w:eastAsia="ru-RU"/>
        </w:rPr>
        <w:t xml:space="preserve">            </w:t>
      </w:r>
      <w:r>
        <w:rPr>
          <w:rFonts w:cs="Calibri"/>
          <w:lang w:eastAsia="ru-RU"/>
        </w:rPr>
        <w:t xml:space="preserve">4) лицо, проходящее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w:t>
      </w:r>
    </w:p>
    <w:p>
      <w:pPr>
        <w:pStyle w:val="Normal"/>
        <w:autoSpaceDE w:val="false"/>
        <w:spacing w:lineRule="auto" w:line="240" w:before="0" w:after="0"/>
        <w:jc w:val="both"/>
        <w:rPr>
          <w:rFonts w:cs="Calibri"/>
          <w:lang w:eastAsia="ru-RU"/>
        </w:rPr>
      </w:pPr>
      <w:r>
        <w:rPr>
          <w:rFonts w:cs="Calibri"/>
          <w:lang w:eastAsia="ru-RU"/>
        </w:rPr>
        <w:t xml:space="preserve">            </w:t>
      </w:r>
      <w:r>
        <w:rPr>
          <w:rFonts w:cs="Calibri"/>
          <w:lang w:eastAsia="ru-RU"/>
        </w:rPr>
        <w:t>5)  члены семьи лиц, указанных в вышеуказанных пунктах (далее – военнослужащих), заключившие с Банком кредитный договор в период до дня мобилизации (для членов семей мобилизованных) или до начала участия военнослужащего  в  специальной военной операции либо до подписания контракта добровольцем.</w:t>
      </w:r>
    </w:p>
    <w:p>
      <w:pPr>
        <w:pStyle w:val="Normal"/>
        <w:spacing w:lineRule="auto" w:line="240" w:before="0" w:after="0"/>
        <w:ind w:left="720" w:hanging="0"/>
        <w:textAlignment w:val="baseline"/>
        <w:rPr>
          <w:rFonts w:eastAsia="Times New Roman" w:cs="Calibri"/>
          <w:sz w:val="24"/>
          <w:szCs w:val="24"/>
          <w:lang w:eastAsia="ru-RU"/>
        </w:rPr>
      </w:pPr>
      <w:r>
        <w:rPr>
          <w:rFonts w:eastAsia="Times New Roman" w:cs="Calibri"/>
          <w:b/>
          <w:bCs/>
          <w:sz w:val="24"/>
          <w:szCs w:val="24"/>
          <w:lang w:eastAsia="ru-RU"/>
        </w:rPr>
        <w:t>К членам семьи военнослужащего относятся:</w:t>
      </w:r>
    </w:p>
    <w:p>
      <w:pPr>
        <w:pStyle w:val="Stklistitem"/>
        <w:numPr>
          <w:ilvl w:val="0"/>
          <w:numId w:val="2"/>
        </w:numPr>
        <w:spacing w:before="280" w:after="0"/>
        <w:ind w:left="1200" w:hanging="0"/>
        <w:textAlignment w:val="baseline"/>
        <w:rPr>
          <w:rFonts w:ascii="Calibri" w:hAnsi="Calibri" w:cs="Calibri"/>
          <w:sz w:val="22"/>
          <w:szCs w:val="22"/>
        </w:rPr>
      </w:pPr>
      <w:r>
        <w:rPr>
          <w:rFonts w:cs="Calibri" w:ascii="Calibri" w:hAnsi="Calibri"/>
          <w:sz w:val="22"/>
          <w:szCs w:val="22"/>
        </w:rPr>
        <w:t>супруга (супруг);</w:t>
      </w:r>
    </w:p>
    <w:p>
      <w:pPr>
        <w:pStyle w:val="Stklistitem"/>
        <w:numPr>
          <w:ilvl w:val="0"/>
          <w:numId w:val="2"/>
        </w:numPr>
        <w:spacing w:before="280" w:after="0"/>
        <w:ind w:left="1200" w:hanging="0"/>
        <w:textAlignment w:val="baseline"/>
        <w:rPr>
          <w:rFonts w:ascii="Calibri" w:hAnsi="Calibri" w:cs="Calibri"/>
          <w:sz w:val="22"/>
          <w:szCs w:val="22"/>
        </w:rPr>
      </w:pPr>
      <w:r>
        <w:rPr>
          <w:rFonts w:cs="Calibri" w:ascii="Calibri" w:hAnsi="Calibri"/>
          <w:sz w:val="22"/>
          <w:szCs w:val="22"/>
        </w:rPr>
        <w:t>несовершеннолетние дети;</w:t>
      </w:r>
    </w:p>
    <w:p>
      <w:pPr>
        <w:pStyle w:val="Stklistitem"/>
        <w:numPr>
          <w:ilvl w:val="0"/>
          <w:numId w:val="2"/>
        </w:numPr>
        <w:spacing w:before="280" w:after="0"/>
        <w:ind w:left="1200" w:hanging="0"/>
        <w:textAlignment w:val="baseline"/>
        <w:rPr>
          <w:rFonts w:ascii="Calibri" w:hAnsi="Calibri" w:cs="Calibri"/>
          <w:sz w:val="22"/>
          <w:szCs w:val="22"/>
        </w:rPr>
      </w:pPr>
      <w:r>
        <w:rPr>
          <w:rFonts w:cs="Calibri" w:ascii="Calibri" w:hAnsi="Calibri"/>
          <w:sz w:val="22"/>
          <w:szCs w:val="22"/>
        </w:rPr>
        <w:t>дети старше 18 лет, ставшие инвалидами до достижения ими возраста 18 лет;</w:t>
      </w:r>
    </w:p>
    <w:p>
      <w:pPr>
        <w:pStyle w:val="Stklistitem"/>
        <w:numPr>
          <w:ilvl w:val="0"/>
          <w:numId w:val="2"/>
        </w:numPr>
        <w:spacing w:before="280" w:after="0"/>
        <w:ind w:left="1200" w:hanging="0"/>
        <w:textAlignment w:val="baseline"/>
        <w:rPr/>
      </w:pPr>
      <w:r>
        <w:rPr>
          <w:rFonts w:cs="Calibri" w:ascii="Calibri" w:hAnsi="Calibri"/>
          <w:sz w:val="22"/>
          <w:szCs w:val="22"/>
        </w:rPr>
        <w:t>дети в возрасте до 23 лет, обучающиеся в образовательных организациях по очной форме обучения;</w:t>
      </w:r>
    </w:p>
    <w:p>
      <w:pPr>
        <w:pStyle w:val="Stklistitem"/>
        <w:numPr>
          <w:ilvl w:val="0"/>
          <w:numId w:val="2"/>
        </w:numPr>
        <w:spacing w:before="280" w:after="280"/>
        <w:ind w:left="1200" w:hanging="0"/>
        <w:textAlignment w:val="baseline"/>
        <w:rPr>
          <w:rFonts w:ascii="Calibri" w:hAnsi="Calibri" w:cs="Calibri"/>
          <w:sz w:val="22"/>
          <w:szCs w:val="22"/>
        </w:rPr>
      </w:pPr>
      <w:r>
        <w:rPr>
          <w:rFonts w:cs="Calibri" w:ascii="Calibri" w:hAnsi="Calibri"/>
          <w:sz w:val="22"/>
          <w:szCs w:val="22"/>
        </w:rPr>
        <w:t>лица, находящиеся на иждивении военнослужащих.</w:t>
      </w:r>
    </w:p>
    <w:p>
      <w:pPr>
        <w:pStyle w:val="Normal"/>
        <w:autoSpaceDE w:val="false"/>
        <w:spacing w:lineRule="auto" w:line="240" w:before="0" w:after="0"/>
        <w:ind w:firstLine="540"/>
        <w:jc w:val="both"/>
        <w:rPr>
          <w:rFonts w:cs="Calibri"/>
          <w:lang w:eastAsia="ru-RU"/>
        </w:rPr>
      </w:pPr>
      <w:r>
        <w:rPr>
          <w:rFonts w:cs="Calibri"/>
        </w:rPr>
        <w:t xml:space="preserve">  </w:t>
      </w:r>
      <w:r>
        <w:rPr>
          <w:rFonts w:cs="Calibri"/>
        </w:rPr>
        <w:t xml:space="preserve">Заемщики-военнослужащие смогут получить отсрочку </w:t>
      </w:r>
      <w:r>
        <w:rPr>
          <w:rFonts w:cs="Calibri"/>
          <w:b/>
          <w:bCs/>
        </w:rPr>
        <w:t>по ипотечным и потребительским кредитам, кредитным картам</w:t>
      </w:r>
      <w:r>
        <w:rPr>
          <w:rFonts w:cs="Calibri"/>
        </w:rPr>
        <w:t xml:space="preserve"> на весь срок службы по мобилизации, контракту или участия в </w:t>
      </w:r>
      <w:r>
        <w:rPr>
          <w:rFonts w:cs="Calibri"/>
          <w:lang w:eastAsia="ru-RU"/>
        </w:rPr>
        <w:t>специальной военной операции</w:t>
      </w:r>
      <w:r>
        <w:rPr>
          <w:rFonts w:cs="Calibri"/>
        </w:rPr>
        <w:t xml:space="preserve">, увеличенный на 180 дней после её окончания. </w:t>
      </w:r>
      <w:r>
        <w:rPr>
          <w:rFonts w:cs="Calibri"/>
          <w:lang w:eastAsia="ru-RU"/>
        </w:rPr>
        <w:t>Льготный период продлевается на период нахождения заемщика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а также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w:t>
      </w:r>
    </w:p>
    <w:p>
      <w:pPr>
        <w:pStyle w:val="Stkreset"/>
        <w:spacing w:before="0" w:after="280"/>
        <w:jc w:val="both"/>
        <w:textAlignment w:val="baseline"/>
        <w:rPr>
          <w:rFonts w:ascii="Calibri" w:hAnsi="Calibri" w:cs="Calibri"/>
          <w:sz w:val="22"/>
          <w:szCs w:val="22"/>
        </w:rPr>
      </w:pPr>
      <w:r>
        <w:rPr>
          <w:rFonts w:eastAsia="Calibri" w:cs="Calibri" w:ascii="Calibri" w:hAnsi="Calibri"/>
          <w:sz w:val="22"/>
          <w:szCs w:val="22"/>
        </w:rPr>
        <w:t xml:space="preserve">             </w:t>
      </w:r>
      <w:r>
        <w:rPr>
          <w:rFonts w:cs="Arial" w:ascii="Calibri" w:hAnsi="Calibri"/>
          <w:sz w:val="22"/>
          <w:szCs w:val="22"/>
        </w:rPr>
        <w:t xml:space="preserve">Заемщик вправе </w:t>
      </w:r>
      <w:r>
        <w:rPr>
          <w:rFonts w:eastAsia="Calibri" w:cs="Calibri" w:ascii="Calibri" w:hAnsi="Calibri"/>
          <w:sz w:val="22"/>
          <w:szCs w:val="22"/>
        </w:rPr>
        <w:t xml:space="preserve">обратиться в Банк в любой момент в течение времени действия кредитного договора, но не позднее </w:t>
      </w:r>
      <w:r>
        <w:rPr>
          <w:rFonts w:eastAsia="Calibri" w:cs="Calibri" w:ascii="Calibri" w:hAnsi="Calibri"/>
          <w:b/>
          <w:bCs/>
          <w:color w:val="C00000"/>
          <w:sz w:val="22"/>
          <w:szCs w:val="22"/>
        </w:rPr>
        <w:t>31 декабря 2025 года</w:t>
      </w:r>
      <w:r>
        <w:rPr>
          <w:rFonts w:eastAsia="Calibri" w:cs="Calibri" w:ascii="Calibri" w:hAnsi="Calibri"/>
          <w:sz w:val="22"/>
          <w:szCs w:val="22"/>
        </w:rPr>
        <w:t xml:space="preserve"> с требованием об изменении условий кредитного договора,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Льготный период не может быть установлен ранее 21 сентября 2022года, а по кредитным картам — ранее даты обращения заемщика с Требованием о предоставлении льготного периода</w:t>
      </w:r>
      <w:r>
        <w:rPr>
          <w:rFonts w:cs="Calibri" w:ascii="Calibri" w:hAnsi="Calibri"/>
          <w:sz w:val="22"/>
          <w:szCs w:val="22"/>
        </w:rPr>
        <w:t>.</w:t>
      </w:r>
      <w:r>
        <w:rPr>
          <w:rFonts w:cs="Arial" w:ascii="Calibri" w:hAnsi="Calibri"/>
          <w:sz w:val="22"/>
          <w:szCs w:val="22"/>
        </w:rPr>
        <w:t xml:space="preserve">  </w:t>
      </w:r>
      <w:r>
        <w:rPr>
          <w:rFonts w:cs="Calibri" w:ascii="Calibri" w:hAnsi="Calibri"/>
          <w:sz w:val="22"/>
          <w:szCs w:val="22"/>
        </w:rPr>
        <w:t>Для рассмотрения Требования заёмщику необходимо обратиться в офис Банка или по телефону, указанному в кредитном договоре.  Кроме заемщика, с требованием о предоставлении льготного периода по кредиту может обратиться любое лицо при предъявлении им оформленных в соответствии с требованиями законодательства Российской Федерации документов, подтверждающих полномочия действовать от имени и в интересах заемщика, в том числе оформленной в простой письменной форме доверенности.</w:t>
      </w:r>
    </w:p>
    <w:p>
      <w:pPr>
        <w:pStyle w:val="Stkreset"/>
        <w:spacing w:before="0" w:after="0"/>
        <w:jc w:val="both"/>
        <w:textAlignment w:val="baseline"/>
        <w:rPr>
          <w:rFonts w:ascii="Calibri" w:hAnsi="Calibri" w:cs="Calibri"/>
          <w:sz w:val="22"/>
          <w:szCs w:val="22"/>
        </w:rPr>
      </w:pPr>
      <w:r>
        <w:rPr>
          <w:rFonts w:eastAsia="Calibri" w:cs="Calibri" w:ascii="Calibri" w:hAnsi="Calibri"/>
          <w:sz w:val="22"/>
          <w:szCs w:val="22"/>
        </w:rPr>
        <w:t xml:space="preserve">             </w:t>
      </w:r>
      <w:r>
        <w:rPr>
          <w:rFonts w:cs="Calibri" w:ascii="Calibri" w:hAnsi="Calibri"/>
          <w:sz w:val="22"/>
          <w:szCs w:val="22"/>
        </w:rPr>
        <w:t xml:space="preserve">Срок кредита будет увеличен на срок не менее льготного периода. </w:t>
      </w:r>
    </w:p>
    <w:p>
      <w:pPr>
        <w:pStyle w:val="Stkreset"/>
        <w:spacing w:before="0" w:after="0"/>
        <w:jc w:val="both"/>
        <w:textAlignment w:val="baseline"/>
        <w:rPr>
          <w:rFonts w:ascii="Calibri" w:hAnsi="Calibri" w:cs="Calibri"/>
          <w:sz w:val="22"/>
          <w:szCs w:val="22"/>
        </w:rPr>
      </w:pPr>
      <w:r>
        <w:rPr>
          <w:rFonts w:eastAsia="Calibri" w:cs="Calibri" w:ascii="Calibri" w:hAnsi="Calibri"/>
          <w:sz w:val="22"/>
          <w:szCs w:val="22"/>
        </w:rPr>
        <w:t xml:space="preserve">             </w:t>
      </w:r>
      <w:r>
        <w:rPr>
          <w:rFonts w:cs="Calibri" w:ascii="Calibri" w:hAnsi="Calibri"/>
          <w:sz w:val="22"/>
          <w:szCs w:val="22"/>
        </w:rPr>
        <w:t>Во время действия каникул будут продолжать начисляться проценты в порядке и на условиях, установленных Законом:</w:t>
      </w:r>
    </w:p>
    <w:p>
      <w:pPr>
        <w:pStyle w:val="Normal"/>
        <w:autoSpaceDE w:val="false"/>
        <w:spacing w:lineRule="auto" w:line="240" w:before="0" w:after="0"/>
        <w:jc w:val="both"/>
        <w:rPr>
          <w:rFonts w:cs="Calibri"/>
          <w:lang w:eastAsia="ru-RU"/>
        </w:rPr>
      </w:pPr>
      <w:r>
        <w:rPr>
          <w:rFonts w:cs="Calibri"/>
        </w:rPr>
        <w:t xml:space="preserve">             </w:t>
      </w:r>
      <w:r>
        <w:rPr>
          <w:rFonts w:cs="Calibri"/>
        </w:rPr>
        <w:t xml:space="preserve">-по потребительским кредитам и кредитным картам </w:t>
      </w:r>
      <w:r>
        <w:rPr>
          <w:rFonts w:cs="Calibri"/>
          <w:lang w:eastAsia="ru-RU"/>
        </w:rPr>
        <w:t>начисляются проценты по процентной ставке, равной двум третям от рассчитанного и опубликованного Банком России  среднерыночного значения полной стоимости потребительского кредита  в процентах годовых, установленного на день направления заемщиком Требования, но не выше процентной ставки, предусмотренной условиями кредитного договора, действовавшими до установления льготного периода;</w:t>
      </w:r>
    </w:p>
    <w:p>
      <w:pPr>
        <w:pStyle w:val="Normal"/>
        <w:autoSpaceDE w:val="false"/>
        <w:spacing w:lineRule="auto" w:line="240" w:before="0" w:after="0"/>
        <w:jc w:val="both"/>
        <w:rPr>
          <w:rFonts w:cs="Calibri"/>
          <w:lang w:eastAsia="ru-RU"/>
        </w:rPr>
      </w:pPr>
      <w:r>
        <w:rPr>
          <w:rFonts w:cs="Calibri"/>
          <w:lang w:eastAsia="ru-RU"/>
        </w:rPr>
        <w:t xml:space="preserve">             </w:t>
      </w:r>
      <w:r>
        <w:rPr>
          <w:rFonts w:cs="Calibri"/>
          <w:lang w:eastAsia="ru-RU"/>
        </w:rPr>
        <w:t xml:space="preserve">- по ипотечным кредитным договорам проценты начисляются в соответствии с кредитным договором </w:t>
      </w:r>
      <w:r>
        <w:rPr/>
        <w:t>но так, как если бы заемщик продолжал вносить платежи в полном объеме, то есть с каждым платежным периодом (обычно это месяц) база для начисления процентов уменьшается. При этом неуплаченные за время кредитных каникул платежи заемщик должен будет впоследствии внести после платежей, которые были предусмотрены первоначальным графиком;</w:t>
      </w:r>
    </w:p>
    <w:p>
      <w:pPr>
        <w:pStyle w:val="Stkreset"/>
        <w:spacing w:before="0" w:after="280"/>
        <w:jc w:val="both"/>
        <w:textAlignment w:val="baseline"/>
        <w:rPr>
          <w:rFonts w:ascii="Calibri" w:hAnsi="Calibri" w:cs="Calibri"/>
          <w:sz w:val="22"/>
          <w:szCs w:val="22"/>
        </w:rPr>
      </w:pPr>
      <w:r>
        <w:rPr>
          <w:rFonts w:eastAsia="Calibri" w:cs="Calibri" w:ascii="Calibri" w:hAnsi="Calibri"/>
          <w:sz w:val="22"/>
          <w:szCs w:val="22"/>
        </w:rPr>
        <w:t xml:space="preserve">             </w:t>
      </w:r>
      <w:r>
        <w:rPr>
          <w:rFonts w:cs="Calibri" w:ascii="Calibri" w:hAnsi="Calibri"/>
          <w:sz w:val="22"/>
          <w:szCs w:val="22"/>
        </w:rPr>
        <w:t xml:space="preserve">- по кредитам, выданным индивидуальным предпринимателям на предпринимательские цели -по ставке, определенной кредитным договором. </w:t>
      </w:r>
    </w:p>
    <w:p>
      <w:pPr>
        <w:pStyle w:val="Stkreset"/>
        <w:spacing w:before="0" w:after="280"/>
        <w:jc w:val="both"/>
        <w:textAlignment w:val="baseline"/>
        <w:rPr/>
      </w:pPr>
      <w:r>
        <w:rPr>
          <w:rFonts w:eastAsia="Calibri" w:cs="Calibri" w:ascii="Calibri" w:hAnsi="Calibri"/>
          <w:sz w:val="22"/>
          <w:szCs w:val="22"/>
        </w:rPr>
        <w:t xml:space="preserve">            </w:t>
      </w:r>
      <w:r>
        <w:rPr>
          <w:rFonts w:cs="Calibri" w:ascii="Calibri" w:hAnsi="Calibri"/>
          <w:sz w:val="22"/>
          <w:szCs w:val="22"/>
        </w:rPr>
        <w:t>В течение льготного периода у Заемщика сохраняется возможность платить по кредиту в счёт его досрочного погашения</w:t>
      </w:r>
      <w:r>
        <w:rPr>
          <w:rFonts w:cs="Calibri"/>
          <w:sz w:val="22"/>
          <w:szCs w:val="22"/>
        </w:rPr>
        <w:t xml:space="preserve"> </w:t>
      </w:r>
      <w:r>
        <w:rPr>
          <w:rFonts w:cs="Calibri" w:ascii="Calibri" w:hAnsi="Calibri"/>
          <w:sz w:val="22"/>
          <w:szCs w:val="22"/>
        </w:rPr>
        <w:t>без прекращения льготного периода: такие платежи, по условиям Закона, будут направляться, в первую очередь, на погашение основного долга, уменьшая тем самым сумму задолженности.</w:t>
      </w:r>
    </w:p>
    <w:p>
      <w:pPr>
        <w:pStyle w:val="Normal"/>
        <w:spacing w:lineRule="atLeast" w:line="240" w:before="60" w:after="0"/>
        <w:ind w:right="-1" w:firstLine="708"/>
        <w:jc w:val="both"/>
        <w:rPr>
          <w:rFonts w:cs="Calibri"/>
        </w:rPr>
      </w:pPr>
      <w:r>
        <w:rPr>
          <w:rFonts w:cs="Calibri"/>
        </w:rPr>
        <w:t xml:space="preserve">Для установления льготного периода Заемщик обязан предоставить Требование (в случае обращения Заемщика в офис Банка), а также вправе приложить документы, подтверждающие в соответствии с законодательством Российской Федерации его участие в специальной военной операции. </w:t>
      </w:r>
    </w:p>
    <w:p>
      <w:pPr>
        <w:pStyle w:val="Normal"/>
        <w:spacing w:lineRule="atLeast" w:line="240" w:before="60" w:after="0"/>
        <w:ind w:right="-1" w:firstLine="708"/>
        <w:jc w:val="both"/>
        <w:rPr>
          <w:rFonts w:cs="Calibri"/>
        </w:rPr>
      </w:pPr>
      <w:r>
        <w:rPr>
          <w:rFonts w:cs="Calibri"/>
        </w:rPr>
      </w:r>
    </w:p>
    <w:p>
      <w:pPr>
        <w:pStyle w:val="Normal"/>
        <w:spacing w:lineRule="auto" w:before="0" w:after="0"/>
        <w:ind w:left="720" w:hanging="0"/>
        <w:jc w:val="both"/>
        <w:rPr>
          <w:rFonts w:cs="Calibri"/>
          <w:b/>
          <w:b/>
          <w:bCs/>
        </w:rPr>
      </w:pPr>
      <w:r>
        <w:rPr>
          <w:rFonts w:cs="Calibri"/>
          <w:b/>
          <w:bCs/>
        </w:rPr>
        <w:t>Обратите внимание:</w:t>
      </w:r>
    </w:p>
    <w:p>
      <w:pPr>
        <w:pStyle w:val="Normal"/>
        <w:numPr>
          <w:ilvl w:val="0"/>
          <w:numId w:val="5"/>
        </w:numPr>
        <w:autoSpaceDE w:val="false"/>
        <w:spacing w:lineRule="auto" w:before="0" w:after="0"/>
        <w:jc w:val="both"/>
        <w:rPr>
          <w:rFonts w:cs="Calibri"/>
          <w:lang w:eastAsia="ru-RU"/>
        </w:rPr>
      </w:pPr>
      <w:r>
        <w:rPr>
          <w:rFonts w:cs="Calibri"/>
          <w:lang w:eastAsia="ru-RU"/>
        </w:rPr>
        <w:t>После установления льготного периода исполнение обязательств Банка по предоставлению денежных средств заемщику приостанавливается на весь срок действия льготного периода.</w:t>
      </w:r>
    </w:p>
    <w:p>
      <w:pPr>
        <w:pStyle w:val="Normal"/>
        <w:numPr>
          <w:ilvl w:val="0"/>
          <w:numId w:val="5"/>
        </w:numPr>
        <w:autoSpaceDE w:val="false"/>
        <w:spacing w:lineRule="auto" w:before="0" w:after="0"/>
        <w:jc w:val="both"/>
        <w:rPr>
          <w:rFonts w:cs="Calibri"/>
          <w:lang w:eastAsia="ru-RU"/>
        </w:rPr>
      </w:pPr>
      <w:r>
        <w:rPr>
          <w:rFonts w:cs="Calibri"/>
          <w:lang w:eastAsia="ru-RU"/>
        </w:rPr>
        <w:t>Заемщик не позднее окончания льготного периода обязан сообщить Банку о дате окончания льготного периода любым удобным  способом.</w:t>
      </w:r>
    </w:p>
    <w:p>
      <w:pPr>
        <w:pStyle w:val="Normal"/>
        <w:numPr>
          <w:ilvl w:val="0"/>
          <w:numId w:val="5"/>
        </w:numPr>
        <w:autoSpaceDE w:val="false"/>
        <w:spacing w:lineRule="auto" w:before="0" w:after="0"/>
        <w:jc w:val="both"/>
        <w:rPr/>
      </w:pPr>
      <w:r>
        <w:rPr>
          <w:rFonts w:cs="Calibri"/>
          <w:lang w:eastAsia="ru-RU"/>
        </w:rPr>
        <w:t xml:space="preserve">Заемщик вправе в любой момент времени в течение льготного периода прекратить действие льготного периода, направив Банку уведомление об этом любым удобным способом. Действие льготного периода считается прекращенным со дня получения кредитором уведомления заемщика. </w:t>
      </w:r>
    </w:p>
    <w:p>
      <w:pPr>
        <w:pStyle w:val="Normal"/>
        <w:numPr>
          <w:ilvl w:val="0"/>
          <w:numId w:val="5"/>
        </w:numPr>
        <w:autoSpaceDE w:val="false"/>
        <w:spacing w:lineRule="auto" w:line="240" w:before="0" w:after="0"/>
        <w:jc w:val="both"/>
        <w:rPr>
          <w:rFonts w:cs="Calibri"/>
          <w:lang w:eastAsia="ru-RU"/>
        </w:rPr>
      </w:pPr>
      <w:r>
        <w:rPr>
          <w:rFonts w:cs="Calibri"/>
          <w:lang w:eastAsia="ru-RU"/>
        </w:rPr>
        <w:t>В случае непредставления по требованию Банка заемщиком документов,</w:t>
      </w:r>
      <w:r>
        <w:rPr>
          <w:rFonts w:cs="Calibri"/>
        </w:rPr>
        <w:t xml:space="preserve"> подтверждающих в соответствии с законодательством Российской Федерации его участие в специальной военной операции,</w:t>
      </w:r>
      <w:r>
        <w:rPr>
          <w:rFonts w:cs="Calibri"/>
          <w:lang w:eastAsia="ru-RU"/>
        </w:rPr>
        <w:t xml:space="preserve"> в срок не позднее окончания льготного периода либо несоответствия таких документов установленным законодательством Российской Федерации требованиям льготный период признается не установленным, а условия соответствующего кредитного договора признаются не измененными.</w:t>
      </w:r>
    </w:p>
    <w:p>
      <w:pPr>
        <w:pStyle w:val="Normal"/>
        <w:numPr>
          <w:ilvl w:val="0"/>
          <w:numId w:val="5"/>
        </w:numPr>
        <w:spacing w:lineRule="auto" w:line="240" w:before="0" w:after="280"/>
        <w:jc w:val="both"/>
        <w:rPr/>
      </w:pPr>
      <w:r>
        <w:rPr>
          <w:rFonts w:eastAsia="Times New Roman"/>
          <w:lang w:eastAsia="ru-RU"/>
        </w:rPr>
        <w:t>Если у мобилизованного заемщика перед мобилизацией уже была просрочка по кредиту и ему  начислили неустойку, штрафы или пени, на время льготного периода их заморозят. После окончания льготного периода  их нужно будет постепенно заплатить. Это же касается членов семьи мобилизованного, если они оформили кредитные каникулы по своим кредитам.</w:t>
      </w:r>
    </w:p>
    <w:p>
      <w:pPr>
        <w:pStyle w:val="Normal"/>
        <w:spacing w:lineRule="atLeast" w:line="240" w:before="60" w:after="0"/>
        <w:ind w:right="-1" w:firstLine="708"/>
        <w:jc w:val="both"/>
        <w:rPr>
          <w:rFonts w:cs="Calibri"/>
          <w:b/>
          <w:b/>
          <w:bCs/>
        </w:rPr>
      </w:pPr>
      <w:r>
        <w:rPr>
          <w:rFonts w:cs="Calibri"/>
          <w:b/>
          <w:bCs/>
        </w:rPr>
        <w:t>Если Заемщик не планирует установление льготного периода по кредитному договору, то погашение кредитов может осуществляться:</w:t>
      </w:r>
    </w:p>
    <w:p>
      <w:pPr>
        <w:pStyle w:val="Normal"/>
        <w:numPr>
          <w:ilvl w:val="0"/>
          <w:numId w:val="3"/>
        </w:numPr>
        <w:spacing w:lineRule="atLeast" w:line="240" w:before="60" w:after="0"/>
        <w:ind w:left="1845" w:right="-1" w:hanging="360"/>
        <w:jc w:val="both"/>
        <w:rPr/>
      </w:pPr>
      <w:r>
        <w:rPr>
          <w:rFonts w:cs="Calibri"/>
        </w:rPr>
        <w:t xml:space="preserve">С карты АО «ВЛАДБИЗНЕСБАНК», привязанной к погашению кредита, – автоматическое списание при ее своевременном пополнении; </w:t>
      </w:r>
    </w:p>
    <w:p>
      <w:pPr>
        <w:pStyle w:val="Normal"/>
        <w:numPr>
          <w:ilvl w:val="0"/>
          <w:numId w:val="3"/>
        </w:numPr>
        <w:spacing w:lineRule="atLeast" w:line="240" w:before="60" w:after="0"/>
        <w:ind w:left="1845" w:right="-1" w:hanging="360"/>
        <w:jc w:val="both"/>
        <w:rPr>
          <w:rFonts w:cs="Calibri"/>
        </w:rPr>
      </w:pPr>
      <w:r>
        <w:rPr>
          <w:rFonts w:cs="Calibri"/>
        </w:rPr>
        <w:t>Погасить кредит может близкий человек путем пополнения счета в офисе Банка.</w:t>
      </w:r>
    </w:p>
    <w:p>
      <w:pPr>
        <w:pStyle w:val="Normal"/>
        <w:spacing w:lineRule="atLeast" w:line="240" w:before="60" w:after="0"/>
        <w:ind w:right="-1" w:firstLine="708"/>
        <w:jc w:val="both"/>
        <w:rPr>
          <w:rFonts w:cs="Calibri"/>
          <w:b/>
          <w:b/>
          <w:bCs/>
        </w:rPr>
      </w:pPr>
      <w:bookmarkStart w:id="1" w:name="Par0"/>
      <w:bookmarkEnd w:id="1"/>
      <w:r>
        <w:rPr>
          <w:rFonts w:cs="Calibri"/>
          <w:b/>
          <w:bCs/>
        </w:rPr>
        <w:t>Основания прекращения обязательств по заключенным кредитным договорам:</w:t>
      </w:r>
    </w:p>
    <w:p>
      <w:pPr>
        <w:pStyle w:val="Normal"/>
        <w:autoSpaceDE w:val="false"/>
        <w:spacing w:lineRule="auto" w:line="240" w:before="0" w:after="0"/>
        <w:ind w:firstLine="540"/>
        <w:jc w:val="both"/>
        <w:rPr>
          <w:rFonts w:eastAsia="Times New Roman" w:cs="Calibri"/>
          <w:lang w:eastAsia="ru-RU"/>
        </w:rPr>
      </w:pPr>
      <w:r>
        <w:rPr>
          <w:rFonts w:eastAsia="Times New Roman" w:cs="Calibri"/>
          <w:lang w:eastAsia="ru-RU"/>
        </w:rPr>
        <w:t xml:space="preserve">-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w:t>
      </w:r>
      <w:r>
        <w:rPr>
          <w:rFonts w:cs="Calibri"/>
          <w:lang w:eastAsia="ru-RU"/>
        </w:rPr>
        <w:t xml:space="preserve">или в случае объявления судом военнослужащего умершим, </w:t>
      </w:r>
      <w:r>
        <w:rPr>
          <w:rFonts w:eastAsia="Times New Roman" w:cs="Calibri"/>
          <w:lang w:eastAsia="ru-RU"/>
        </w:rPr>
        <w:t>а также в случае признания военнослужащего инвалидом I группы в порядке, установленном законодательством Российской Федерации, обязательства военнослужащего по кредитному договору прекращаются.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медико-социальной экспертизы.</w:t>
      </w:r>
    </w:p>
    <w:p>
      <w:pPr>
        <w:pStyle w:val="Normal"/>
        <w:autoSpaceDE w:val="false"/>
        <w:spacing w:lineRule="auto" w:line="240" w:before="0" w:after="0"/>
        <w:ind w:firstLine="540"/>
        <w:jc w:val="both"/>
        <w:rPr>
          <w:rFonts w:eastAsia="Times New Roman" w:cs="Calibri"/>
          <w:b/>
          <w:b/>
          <w:bCs/>
          <w:lang w:eastAsia="ru-RU"/>
        </w:rPr>
      </w:pPr>
      <w:r>
        <w:rPr>
          <w:rFonts w:eastAsia="Times New Roman" w:cs="Calibri"/>
          <w:b/>
          <w:bCs/>
          <w:lang w:eastAsia="ru-RU"/>
        </w:rPr>
      </w:r>
    </w:p>
    <w:p>
      <w:pPr>
        <w:pStyle w:val="Normal"/>
        <w:autoSpaceDE w:val="false"/>
        <w:spacing w:lineRule="auto" w:line="240" w:before="220" w:after="0"/>
        <w:ind w:firstLine="540"/>
        <w:jc w:val="both"/>
        <w:rPr/>
      </w:pPr>
      <w:r>
        <w:rPr>
          <w:rFonts w:eastAsia="Times New Roman" w:cs="Calibri"/>
          <w:lang w:eastAsia="ru-RU"/>
        </w:rPr>
        <w:t xml:space="preserve">В случае наступления указанных обстоятельств, обязательства членов семьи военнослужащего в отношении заключенных ими кредитных договоров, </w:t>
      </w:r>
      <w:r>
        <w:rPr>
          <w:rFonts w:cs="Calibri"/>
          <w:b/>
          <w:bCs/>
          <w:lang w:eastAsia="ru-RU"/>
        </w:rPr>
        <w:t>а также обязательства не относящихся к членам семьи военнослужащего, определенным настоящей Памяткой, совершеннолетних детей, родителей или усыновителей военнослужащего, участвующих в обязательстве по кредитному договору на стороне заемщика, являющегося этим военнослужащим, прекращаются.</w:t>
      </w:r>
    </w:p>
    <w:p>
      <w:pPr>
        <w:pStyle w:val="Normal"/>
        <w:autoSpaceDE w:val="false"/>
        <w:spacing w:lineRule="auto" w:line="240" w:before="0" w:after="0"/>
        <w:ind w:firstLine="539"/>
        <w:jc w:val="both"/>
        <w:rPr/>
      </w:pPr>
      <w:r>
        <w:rPr>
          <w:rFonts w:cs="Calibri"/>
          <w:lang w:eastAsia="ru-RU"/>
        </w:rPr>
        <w:t>Информация о наступлении указанных обстоятельств, помимо военнослужащего может быть направлена Банку следующими лицами:</w:t>
      </w:r>
    </w:p>
    <w:p>
      <w:pPr>
        <w:pStyle w:val="Normal"/>
        <w:autoSpaceDE w:val="false"/>
        <w:spacing w:lineRule="auto" w:line="240" w:before="0" w:after="0"/>
        <w:ind w:firstLine="539"/>
        <w:jc w:val="both"/>
        <w:rPr/>
      </w:pPr>
      <w:r>
        <w:rPr>
          <w:rFonts w:cs="Calibri"/>
          <w:lang w:eastAsia="ru-RU"/>
        </w:rPr>
        <w:t>1) членом семьи военнослужащего, иным лицом, состоящим в родстве (свойстве) с военнослужащим, при предъявлении им документов, подтверждающих родство (свойство), а также их законными представителями;</w:t>
      </w:r>
    </w:p>
    <w:p>
      <w:pPr>
        <w:pStyle w:val="Normal"/>
        <w:autoSpaceDE w:val="false"/>
        <w:spacing w:lineRule="auto" w:line="240" w:before="0" w:after="0"/>
        <w:ind w:firstLine="539"/>
        <w:jc w:val="both"/>
        <w:rPr>
          <w:rFonts w:cs="Calibri"/>
          <w:lang w:eastAsia="ru-RU"/>
        </w:rPr>
      </w:pPr>
      <w:r>
        <w:rPr>
          <w:rFonts w:cs="Calibri"/>
          <w:lang w:eastAsia="ru-RU"/>
        </w:rPr>
        <w:t>2) наследниками военнослужащего при предъявлении ими документов, подтверждающих право на наследство.</w:t>
      </w:r>
    </w:p>
    <w:p>
      <w:pPr>
        <w:pStyle w:val="Normal"/>
        <w:autoSpaceDE w:val="false"/>
        <w:spacing w:lineRule="auto" w:line="240" w:before="0" w:after="0"/>
        <w:ind w:firstLine="539"/>
        <w:jc w:val="both"/>
        <w:rPr>
          <w:rFonts w:cs="Calibri"/>
          <w:lang w:eastAsia="ru-RU"/>
        </w:rPr>
      </w:pPr>
      <w:r>
        <w:rPr>
          <w:rFonts w:cs="Calibri"/>
          <w:lang w:eastAsia="ru-RU"/>
        </w:rPr>
      </w:r>
    </w:p>
    <w:p>
      <w:pPr>
        <w:pStyle w:val="Normal"/>
        <w:autoSpaceDE w:val="false"/>
        <w:spacing w:lineRule="auto" w:line="240" w:before="0" w:after="0"/>
        <w:jc w:val="both"/>
        <w:rPr>
          <w:rFonts w:cs="Calibri"/>
          <w:lang w:eastAsia="ru-RU"/>
        </w:rPr>
      </w:pPr>
      <w:r>
        <w:rPr>
          <w:rFonts w:cs="Calibri"/>
          <w:lang w:eastAsia="ru-RU"/>
        </w:rPr>
        <w:t xml:space="preserve">          </w:t>
      </w:r>
      <w:r>
        <w:rPr>
          <w:rFonts w:cs="Calibri"/>
          <w:lang w:eastAsia="ru-RU"/>
        </w:rPr>
        <w:t>- по кредитным договорам, за исключением кредитных договоров, обязательства по которым обеспечены ипотекой, заключенным с военнослужащими, а также с лицами,  проходящими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(за исключением членов их семей), начисленные проценты уплате не подлежат и по окончании льготного периода обязательства по уплате таких процентов прекращаются.</w:t>
      </w:r>
      <w:r>
        <w:rPr/>
        <w:t xml:space="preserve"> </w:t>
      </w:r>
      <w:r>
        <w:rPr>
          <w:rFonts w:cs="Calibri"/>
          <w:lang w:eastAsia="ru-RU"/>
        </w:rPr>
        <w:t>Члены их семей обязаны оплатить начисленные проценты.</w:t>
      </w:r>
    </w:p>
    <w:p>
      <w:pPr>
        <w:pStyle w:val="Normal"/>
        <w:autoSpaceDE w:val="false"/>
        <w:spacing w:lineRule="auto" w:line="240" w:before="0" w:after="0"/>
        <w:ind w:firstLine="539"/>
        <w:jc w:val="both"/>
        <w:rPr>
          <w:rFonts w:cs="Calibri"/>
          <w:lang w:eastAsia="ru-RU"/>
        </w:rPr>
      </w:pPr>
      <w:r>
        <w:rPr>
          <w:rFonts w:cs="Calibri"/>
          <w:lang w:eastAsia="ru-RU"/>
        </w:rPr>
      </w:r>
    </w:p>
    <w:p>
      <w:pPr>
        <w:pStyle w:val="Normal"/>
        <w:autoSpaceDE w:val="false"/>
        <w:spacing w:lineRule="auto" w:line="240" w:before="0" w:after="0"/>
        <w:ind w:firstLine="539"/>
        <w:jc w:val="both"/>
        <w:rPr>
          <w:rFonts w:cs="Calibri"/>
          <w:lang w:eastAsia="ru-RU"/>
        </w:rPr>
      </w:pPr>
      <w:r>
        <w:rPr>
          <w:rFonts w:cs="Calibri"/>
          <w:lang w:eastAsia="ru-RU"/>
        </w:rPr>
        <w:t>- по ипотечным договорам размер задолженности из-за кредитных каникул не увеличивается.</w:t>
      </w:r>
    </w:p>
    <w:p>
      <w:pPr>
        <w:pStyle w:val="Normal"/>
        <w:autoSpaceDE w:val="false"/>
        <w:spacing w:lineRule="auto" w:line="240" w:before="0" w:after="0"/>
        <w:ind w:firstLine="539"/>
        <w:jc w:val="both"/>
        <w:rPr>
          <w:rFonts w:cs="Calibri"/>
          <w:lang w:eastAsia="ru-RU"/>
        </w:rPr>
      </w:pPr>
      <w:r>
        <w:rPr>
          <w:rFonts w:cs="Calibri"/>
          <w:lang w:eastAsia="ru-RU"/>
        </w:rPr>
      </w:r>
    </w:p>
    <w:p>
      <w:pPr>
        <w:pStyle w:val="Normal"/>
        <w:autoSpaceDE w:val="false"/>
        <w:spacing w:lineRule="auto" w:line="240" w:before="0" w:after="0"/>
        <w:ind w:firstLine="540"/>
        <w:jc w:val="both"/>
        <w:rPr>
          <w:rFonts w:cs="Calibri"/>
          <w:lang w:eastAsia="ru-RU"/>
        </w:rPr>
      </w:pPr>
      <w:r>
        <w:rPr>
          <w:rFonts w:cs="Calibri"/>
          <w:b/>
          <w:bCs/>
          <w:lang w:eastAsia="ru-RU"/>
        </w:rPr>
        <w:t>Обязательства гражданина</w:t>
      </w:r>
      <w:r>
        <w:rPr>
          <w:rFonts w:cs="Calibri"/>
          <w:lang w:eastAsia="ru-RU"/>
        </w:rPr>
        <w:t xml:space="preserve">, призванного на военную службу по мобилизации в Вооруженные Силы Российской Федерации, военнослужащего, проходившего военную службу по призыву в Вооруженных Силах Российской Федерации (за исключением военнослужащего, замещающего воинскую должность курсанта военной профессиональной образовательной организации, военной образовательной организации высшего образования, находящихся в ведении Министерства обороны Российской Федерации), иного гражданина, не проходящего военную службу, </w:t>
      </w:r>
      <w:r>
        <w:rPr>
          <w:rFonts w:cs="Calibri"/>
          <w:b/>
          <w:bCs/>
          <w:lang w:eastAsia="ru-RU"/>
        </w:rPr>
        <w:t>заключивших</w:t>
      </w:r>
      <w:r>
        <w:rPr>
          <w:rFonts w:cs="Calibri"/>
          <w:lang w:eastAsia="ru-RU"/>
        </w:rPr>
        <w:t xml:space="preserve"> </w:t>
      </w:r>
      <w:r>
        <w:rPr>
          <w:rFonts w:cs="Calibri"/>
          <w:b/>
          <w:bCs/>
          <w:lang w:eastAsia="ru-RU"/>
        </w:rPr>
        <w:t>не ранее 1 декабря 2024 года контракт</w:t>
      </w:r>
      <w:r>
        <w:rPr>
          <w:rFonts w:cs="Calibri"/>
          <w:lang w:eastAsia="ru-RU"/>
        </w:rPr>
        <w:t xml:space="preserve"> о прохождении военной службы в Вооруженных Силах Российской Федерации сроком на один год и более для выполнения задач специальной военной операции, </w:t>
      </w:r>
      <w:r>
        <w:rPr>
          <w:rFonts w:cs="Calibri"/>
          <w:b/>
          <w:bCs/>
          <w:lang w:eastAsia="ru-RU"/>
        </w:rPr>
        <w:t>и (или) его супруги (супруга),</w:t>
      </w:r>
      <w:r>
        <w:rPr>
          <w:rFonts w:cs="Calibri"/>
          <w:lang w:eastAsia="ru-RU"/>
        </w:rPr>
        <w:t xml:space="preserve"> вытекающие из кредитного договора, </w:t>
      </w:r>
      <w:r>
        <w:rPr>
          <w:rFonts w:cs="Calibri"/>
          <w:b/>
          <w:bCs/>
          <w:lang w:eastAsia="ru-RU"/>
        </w:rPr>
        <w:t xml:space="preserve">в случае, если до 1 декабря 2024 года вступил в законную силу судебный акт о взыскании задолженности по этим обязательствам </w:t>
      </w:r>
      <w:r>
        <w:rPr>
          <w:rFonts w:cs="Calibri"/>
          <w:lang w:eastAsia="ru-RU"/>
        </w:rPr>
        <w:t xml:space="preserve">и (или) в целях исполнения таких обязательств банку или иной кредитной организации выдан исполнительный документ и (или) по заявлениям названных организаций возбуждено исполнительное производство (исполнительный документ предъявлен к исполнению), </w:t>
      </w:r>
      <w:r>
        <w:rPr>
          <w:rFonts w:cs="Calibri"/>
          <w:b/>
          <w:bCs/>
          <w:lang w:eastAsia="ru-RU"/>
        </w:rPr>
        <w:t xml:space="preserve">прекращаются в части, не превышающей в совокупности 10 миллионов рублей, </w:t>
      </w:r>
      <w:r>
        <w:rPr>
          <w:rFonts w:cs="Calibri"/>
          <w:lang w:eastAsia="ru-RU"/>
        </w:rPr>
        <w:t>со дня заключения указанного контракта.</w:t>
      </w:r>
    </w:p>
    <w:p>
      <w:pPr>
        <w:pStyle w:val="Normal"/>
        <w:autoSpaceDE w:val="false"/>
        <w:spacing w:lineRule="auto" w:line="240" w:before="0" w:after="0"/>
        <w:ind w:firstLine="539"/>
        <w:jc w:val="both"/>
        <w:rPr>
          <w:rFonts w:cs="Calibri"/>
          <w:lang w:eastAsia="ru-RU"/>
        </w:rPr>
      </w:pPr>
      <w:r>
        <w:rPr>
          <w:rFonts w:cs="Calibri"/>
          <w:lang w:eastAsia="ru-RU"/>
        </w:rPr>
      </w:r>
    </w:p>
    <w:p>
      <w:pPr>
        <w:pStyle w:val="Normal"/>
        <w:spacing w:lineRule="atLeast" w:line="240" w:before="60" w:after="0"/>
        <w:ind w:right="-1" w:hanging="0"/>
        <w:jc w:val="both"/>
        <w:rPr>
          <w:rFonts w:cs="Calibri"/>
          <w:b/>
          <w:b/>
          <w:bCs/>
        </w:rPr>
      </w:pPr>
      <w:r>
        <w:rPr>
          <w:rFonts w:cs="Calibri"/>
          <w:b/>
          <w:bCs/>
        </w:rPr>
        <w:t>Перечень документов, подтверждающих основание для предоставления льготного периода (при наличии)</w:t>
      </w:r>
    </w:p>
    <w:p>
      <w:pPr>
        <w:pStyle w:val="Stklistitem"/>
        <w:numPr>
          <w:ilvl w:val="0"/>
          <w:numId w:val="2"/>
        </w:numPr>
        <w:spacing w:before="280" w:after="0"/>
        <w:jc w:val="both"/>
        <w:textAlignment w:val="baseline"/>
        <w:rPr>
          <w:rFonts w:ascii="Calibri" w:hAnsi="Calibri" w:cs="Calibri"/>
          <w:sz w:val="22"/>
          <w:szCs w:val="22"/>
        </w:rPr>
      </w:pPr>
      <w:r>
        <w:rPr>
          <w:rFonts w:cs="Calibri" w:ascii="Calibri" w:hAnsi="Calibri"/>
          <w:sz w:val="22"/>
          <w:szCs w:val="22"/>
        </w:rPr>
        <w:t>Документы, подтверждающие призыв на военную службу по мобилизации (включая мобилизационное предписание, повестка из военного комиссариата о призыве на военную службу по мобилизации и др.).</w:t>
      </w:r>
    </w:p>
    <w:p>
      <w:pPr>
        <w:pStyle w:val="Stklistitem"/>
        <w:numPr>
          <w:ilvl w:val="0"/>
          <w:numId w:val="2"/>
        </w:numPr>
        <w:spacing w:before="280" w:after="0"/>
        <w:jc w:val="both"/>
        <w:textAlignment w:val="baseline"/>
        <w:rPr/>
      </w:pPr>
      <w:r>
        <w:rPr>
          <w:rFonts w:cs="Calibri" w:ascii="Calibri" w:hAnsi="Calibri"/>
          <w:sz w:val="22"/>
          <w:szCs w:val="22"/>
        </w:rPr>
        <w:t>Документы, подтверждающие прохождение военной службы в ВС РФ по контракту, военной службы (службы) в войсках национальной гвардии РФ, в воинских формированиях и органах, указанных в п. 6 ст. 1 Закона об обороне.</w:t>
      </w:r>
    </w:p>
    <w:p>
      <w:pPr>
        <w:pStyle w:val="Stklistitem"/>
        <w:numPr>
          <w:ilvl w:val="0"/>
          <w:numId w:val="2"/>
        </w:numPr>
        <w:spacing w:before="280" w:after="0"/>
        <w:jc w:val="both"/>
        <w:textAlignment w:val="baseline"/>
        <w:rPr>
          <w:rFonts w:ascii="Calibri" w:hAnsi="Calibri" w:cs="Calibri"/>
          <w:sz w:val="22"/>
          <w:szCs w:val="22"/>
        </w:rPr>
      </w:pPr>
      <w:r>
        <w:rPr>
          <w:rFonts w:cs="Calibri" w:ascii="Calibri" w:hAnsi="Calibri"/>
          <w:sz w:val="22"/>
          <w:szCs w:val="22"/>
        </w:rPr>
        <w:t>Документы, подтверждающие заключение контракта о добровольном содействии в выполнении задач, возложенных на ВС РФ.</w:t>
      </w:r>
    </w:p>
    <w:p>
      <w:pPr>
        <w:pStyle w:val="Stklistitem"/>
        <w:numPr>
          <w:ilvl w:val="0"/>
          <w:numId w:val="2"/>
        </w:numPr>
        <w:spacing w:before="280" w:after="0"/>
        <w:jc w:val="both"/>
        <w:textAlignment w:val="baseline"/>
        <w:rPr/>
      </w:pPr>
      <w:r>
        <w:rPr>
          <w:rFonts w:cs="Calibri" w:ascii="Calibri" w:hAnsi="Calibri"/>
          <w:sz w:val="22"/>
          <w:szCs w:val="22"/>
        </w:rPr>
        <w:t>Документы, подтверждающие прохождение службы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РФ, обеспечивающих проведение специальной военной операции.</w:t>
      </w:r>
    </w:p>
    <w:p>
      <w:pPr>
        <w:pStyle w:val="Stklistitem"/>
        <w:numPr>
          <w:ilvl w:val="0"/>
          <w:numId w:val="2"/>
        </w:numPr>
        <w:spacing w:before="280" w:after="0"/>
        <w:textAlignment w:val="baseline"/>
        <w:rPr>
          <w:rFonts w:ascii="Calibri" w:hAnsi="Calibri" w:cs="Calibri"/>
          <w:sz w:val="22"/>
          <w:szCs w:val="22"/>
        </w:rPr>
      </w:pPr>
      <w:r>
        <w:rPr>
          <w:rFonts w:cs="Calibri" w:ascii="Calibri" w:hAnsi="Calibri"/>
          <w:sz w:val="22"/>
          <w:szCs w:val="22"/>
        </w:rPr>
        <w:t>Документы, подтверждающие статус члена семьи лиц, указанных выше, в том числе подтверждение нахождения на иждивении у указанных лиц</w:t>
      </w:r>
    </w:p>
    <w:p>
      <w:pPr>
        <w:pStyle w:val="Stklistitem"/>
        <w:numPr>
          <w:ilvl w:val="0"/>
          <w:numId w:val="2"/>
        </w:numPr>
        <w:spacing w:before="280" w:after="280"/>
        <w:textAlignment w:val="baseline"/>
        <w:rPr>
          <w:rFonts w:ascii="Calibri" w:hAnsi="Calibri" w:cs="Calibri"/>
          <w:sz w:val="22"/>
          <w:szCs w:val="22"/>
        </w:rPr>
      </w:pPr>
      <w:r>
        <w:rPr>
          <w:rFonts w:cs="Calibri" w:ascii="Calibri" w:hAnsi="Calibri"/>
          <w:sz w:val="22"/>
          <w:szCs w:val="22"/>
        </w:rPr>
        <w:t>Документы, подтверждающие участие в СВО.</w:t>
      </w:r>
    </w:p>
    <w:p>
      <w:pPr>
        <w:pStyle w:val="Normal"/>
        <w:numPr>
          <w:ilvl w:val="0"/>
          <w:numId w:val="0"/>
        </w:numPr>
        <w:shd w:fill="FFFFFF" w:val="clear"/>
        <w:spacing w:lineRule="atLeast" w:line="240" w:before="0" w:after="0"/>
        <w:outlineLvl w:val="1"/>
        <w:rPr>
          <w:rFonts w:eastAsia="Times New Roman" w:cs="Calibri"/>
          <w:b/>
          <w:b/>
          <w:bCs/>
          <w:lang w:eastAsia="ru-RU"/>
        </w:rPr>
      </w:pPr>
      <w:r>
        <w:rPr>
          <w:rFonts w:eastAsia="Times New Roman" w:cs="Calibri"/>
          <w:b/>
          <w:bCs/>
          <w:lang w:eastAsia="ru-RU"/>
        </w:rPr>
        <w:t>В каком виде предоставить документы</w:t>
      </w:r>
    </w:p>
    <w:p>
      <w:pPr>
        <w:pStyle w:val="Normal"/>
        <w:shd w:fill="FFFFFF" w:val="clear"/>
        <w:spacing w:lineRule="atLeast" w:line="240" w:before="0" w:after="0"/>
        <w:rPr>
          <w:rFonts w:eastAsia="Times New Roman" w:cs="Calibri"/>
          <w:lang w:eastAsia="ru-RU"/>
        </w:rPr>
      </w:pPr>
      <w:r>
        <w:rPr>
          <w:rFonts w:eastAsia="Times New Roman" w:cs="Calibri"/>
          <w:lang w:eastAsia="ru-RU"/>
        </w:rPr>
        <w:t>Документы можно предоставить в оригинале, в виде выписки или копии, которая может быть заверена одним из способов:</w:t>
      </w:r>
    </w:p>
    <w:p>
      <w:pPr>
        <w:pStyle w:val="Stklistitem"/>
        <w:numPr>
          <w:ilvl w:val="0"/>
          <w:numId w:val="2"/>
        </w:numPr>
        <w:spacing w:before="280" w:after="0"/>
        <w:textAlignment w:val="baseline"/>
        <w:rPr>
          <w:rFonts w:ascii="Calibri" w:hAnsi="Calibri" w:cs="Calibri"/>
          <w:sz w:val="22"/>
          <w:szCs w:val="22"/>
        </w:rPr>
      </w:pPr>
      <w:r>
        <w:rPr>
          <w:rFonts w:cs="Calibri" w:ascii="Calibri" w:hAnsi="Calibri"/>
          <w:sz w:val="22"/>
          <w:szCs w:val="22"/>
        </w:rPr>
        <w:t>нотариусом,</w:t>
      </w:r>
    </w:p>
    <w:p>
      <w:pPr>
        <w:pStyle w:val="Stklistitem"/>
        <w:numPr>
          <w:ilvl w:val="0"/>
          <w:numId w:val="2"/>
        </w:numPr>
        <w:spacing w:before="280" w:after="0"/>
        <w:textAlignment w:val="baseline"/>
        <w:rPr>
          <w:rFonts w:ascii="Calibri" w:hAnsi="Calibri" w:cs="Calibri"/>
          <w:sz w:val="22"/>
          <w:szCs w:val="22"/>
        </w:rPr>
      </w:pPr>
      <w:r>
        <w:rPr>
          <w:rFonts w:cs="Calibri" w:ascii="Calibri" w:hAnsi="Calibri"/>
          <w:sz w:val="22"/>
          <w:szCs w:val="22"/>
        </w:rPr>
        <w:t>командиром (начальником) воинской части, соединения, учреждения и военно-учебного заведения, где вы проходите службу,</w:t>
      </w:r>
    </w:p>
    <w:p>
      <w:pPr>
        <w:pStyle w:val="Stklistitem"/>
        <w:numPr>
          <w:ilvl w:val="0"/>
          <w:numId w:val="2"/>
        </w:numPr>
        <w:spacing w:before="280" w:after="280"/>
        <w:textAlignment w:val="baseline"/>
        <w:rPr/>
      </w:pPr>
      <w:r>
        <w:rPr>
          <w:rFonts w:cs="Calibri" w:ascii="Calibri" w:hAnsi="Calibri"/>
          <w:sz w:val="22"/>
          <w:szCs w:val="22"/>
        </w:rPr>
        <w:t>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вы находитесь на лечении в таких учреждениях.</w:t>
      </w:r>
    </w:p>
    <w:p>
      <w:pPr>
        <w:pStyle w:val="Normal"/>
        <w:spacing w:lineRule="auto" w:before="0" w:after="0"/>
        <w:ind w:left="142" w:hanging="0"/>
        <w:jc w:val="both"/>
        <w:rPr/>
      </w:pPr>
      <w:r>
        <w:rPr>
          <w:rFonts w:cs="Calibri"/>
          <w:b/>
          <w:bCs/>
        </w:rPr>
        <w:t xml:space="preserve">Перечень документов, подтверждающих  статус в качестве члена семьи военнослужащего: </w:t>
      </w:r>
    </w:p>
    <w:p>
      <w:pPr>
        <w:pStyle w:val="Normal"/>
        <w:numPr>
          <w:ilvl w:val="0"/>
          <w:numId w:val="4"/>
        </w:numPr>
        <w:autoSpaceDE w:val="false"/>
        <w:spacing w:lineRule="auto" w:line="240" w:before="0" w:after="0"/>
        <w:ind w:left="1276" w:hanging="374"/>
        <w:jc w:val="both"/>
        <w:rPr/>
      </w:pPr>
      <w:r>
        <w:rPr>
          <w:rFonts w:cs="Calibri"/>
          <w:b/>
          <w:bCs/>
          <w:lang w:eastAsia="ru-RU"/>
        </w:rPr>
        <w:t>для супруга (супруги)</w:t>
      </w:r>
      <w:r>
        <w:rPr>
          <w:rFonts w:cs="Calibri"/>
          <w:lang w:eastAsia="ru-RU"/>
        </w:rPr>
        <w:t xml:space="preserve"> - свидетельство о заключении брака;</w:t>
      </w:r>
    </w:p>
    <w:p>
      <w:pPr>
        <w:pStyle w:val="Normal"/>
        <w:numPr>
          <w:ilvl w:val="0"/>
          <w:numId w:val="4"/>
        </w:numPr>
        <w:autoSpaceDE w:val="false"/>
        <w:spacing w:lineRule="auto" w:line="240" w:before="0" w:after="0"/>
        <w:ind w:left="1259" w:hanging="357"/>
        <w:jc w:val="both"/>
        <w:rPr/>
      </w:pPr>
      <w:r>
        <w:rPr>
          <w:rFonts w:cs="Calibri"/>
          <w:b/>
          <w:bCs/>
          <w:lang w:eastAsia="ru-RU"/>
        </w:rPr>
        <w:t>для несовершеннолетних детей</w:t>
      </w:r>
      <w:r>
        <w:rPr>
          <w:rFonts w:cs="Calibri"/>
          <w:lang w:eastAsia="ru-RU"/>
        </w:rPr>
        <w:t xml:space="preserve"> - свидетельство о рождении или свидетельство об усыновлении (удочерении);</w:t>
      </w:r>
    </w:p>
    <w:p>
      <w:pPr>
        <w:pStyle w:val="Normal"/>
        <w:numPr>
          <w:ilvl w:val="0"/>
          <w:numId w:val="4"/>
        </w:numPr>
        <w:autoSpaceDE w:val="false"/>
        <w:spacing w:lineRule="auto" w:line="240" w:before="0" w:after="0"/>
        <w:ind w:left="1259" w:hanging="357"/>
        <w:jc w:val="both"/>
        <w:rPr/>
      </w:pPr>
      <w:r>
        <w:rPr>
          <w:rFonts w:cs="Calibri"/>
          <w:b/>
          <w:bCs/>
          <w:lang w:eastAsia="ru-RU"/>
        </w:rPr>
        <w:t>для детей старше 18 лет, ставших инвалидами до достижения ими возраста 18 лет,</w:t>
      </w:r>
      <w:r>
        <w:rPr>
          <w:rFonts w:cs="Calibri"/>
          <w:lang w:eastAsia="ru-RU"/>
        </w:rPr>
        <w:t xml:space="preserve"> - свидетельство о рождении или свидетельство об усыновлении (удочерении) и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pStyle w:val="Normal"/>
        <w:numPr>
          <w:ilvl w:val="0"/>
          <w:numId w:val="4"/>
        </w:numPr>
        <w:autoSpaceDE w:val="false"/>
        <w:spacing w:lineRule="auto" w:line="240" w:before="0" w:after="0"/>
        <w:ind w:left="1259" w:hanging="357"/>
        <w:jc w:val="both"/>
        <w:rPr/>
      </w:pPr>
      <w:r>
        <w:rPr>
          <w:rFonts w:cs="Calibri"/>
          <w:b/>
          <w:bCs/>
          <w:lang w:eastAsia="ru-RU"/>
        </w:rPr>
        <w:t>для детей в возрасте до 23 лет, обучающихся в образовательных организациях по очной форме обучения</w:t>
      </w:r>
      <w:r>
        <w:rPr>
          <w:rFonts w:cs="Calibri"/>
          <w:lang w:eastAsia="ru-RU"/>
        </w:rPr>
        <w:t>, - свидетельство о рождении или свидетельство об усыновлении (удочерении) и справка с места учебы, подтверждающая обучение по очной форме;</w:t>
      </w:r>
    </w:p>
    <w:p>
      <w:pPr>
        <w:pStyle w:val="Normal"/>
        <w:numPr>
          <w:ilvl w:val="0"/>
          <w:numId w:val="4"/>
        </w:numPr>
        <w:autoSpaceDE w:val="false"/>
        <w:spacing w:lineRule="auto" w:line="240" w:before="0" w:after="0"/>
        <w:ind w:left="1259" w:hanging="357"/>
        <w:jc w:val="both"/>
        <w:rPr/>
      </w:pPr>
      <w:r>
        <w:rPr>
          <w:rFonts w:cs="Calibri"/>
          <w:b/>
          <w:bCs/>
          <w:lang w:eastAsia="ru-RU"/>
        </w:rPr>
        <w:t>для иждивенцев</w:t>
      </w:r>
      <w:r>
        <w:rPr>
          <w:rFonts w:cs="Calibri"/>
          <w:lang w:eastAsia="ru-RU"/>
        </w:rPr>
        <w:t xml:space="preserve">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p>
    <w:p>
      <w:pPr>
        <w:pStyle w:val="Normal"/>
        <w:spacing w:lineRule="auto" w:before="0" w:after="0"/>
        <w:ind w:firstLine="709"/>
        <w:jc w:val="both"/>
        <w:rPr/>
      </w:pPr>
      <w:r>
        <w:rPr>
          <w:rFonts w:cs="Calibri"/>
          <w:b/>
          <w:bCs/>
        </w:rPr>
        <w:t xml:space="preserve">        </w:t>
      </w:r>
      <w:r>
        <w:rPr>
          <w:rFonts w:cs="Calibri"/>
          <w:b/>
          <w:bCs/>
        </w:rPr>
        <w:t>- иные документы.</w:t>
      </w:r>
      <w:r>
        <w:rPr>
          <w:rFonts w:eastAsia="Times New Roman" w:cs="Calibri"/>
          <w:lang w:eastAsia="ru-RU"/>
        </w:rPr>
        <w:t xml:space="preserve"> </w:t>
      </w:r>
    </w:p>
    <w:sectPr>
      <w:type w:val="nextPage"/>
      <w:pgSz w:w="11906" w:h="16838"/>
      <w:pgMar w:left="680" w:right="680" w:header="0" w:top="284" w:footer="0" w:bottom="28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egoe UI">
    <w:charset w:val="cc"/>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szCs w:val="22"/>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ind w:left="1845" w:hanging="360"/>
      </w:pPr>
      <w:rPr>
        <w:rFonts w:ascii="Symbol" w:hAnsi="Symbol" w:cs="Symbol" w:hint="default"/>
        <w:rFonts w:cs="Symbol"/>
      </w:rPr>
    </w:lvl>
  </w:abstractNum>
  <w:abstractNum w:abstractNumId="4">
    <w:lvl w:ilvl="0">
      <w:start w:val="1"/>
      <w:numFmt w:val="bullet"/>
      <w:lvlText w:val="-"/>
      <w:lvlJc w:val="left"/>
      <w:pPr>
        <w:ind w:left="1260" w:hanging="360"/>
      </w:pPr>
      <w:rPr>
        <w:rFonts w:ascii="Calibri" w:hAnsi="Calibri" w:cs="Calibri" w:hint="default"/>
        <w:rFonts w:cs="Calibri"/>
        <w:lang w:eastAsia="ru-RU"/>
      </w:rPr>
    </w:lvl>
  </w:abstractNum>
  <w:abstractNum w:abstractNumId="5">
    <w:lvl w:ilvl="0">
      <w:start w:val="1"/>
      <w:numFmt w:val="decimal"/>
      <w:lvlText w:val="%1."/>
      <w:lvlJc w:val="left"/>
      <w:pPr>
        <w:ind w:left="1125" w:hanging="360"/>
      </w:pPr>
      <w:rPr>
        <w:rFonts w:eastAsia="Times New Roman" w:cs="Calibri"/>
        <w:lang w:eastAsia="ru-RU"/>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Heading2">
    <w:name w:val="Heading 2"/>
    <w:basedOn w:val="Normal"/>
    <w:next w:val="TextBody"/>
    <w:qFormat/>
    <w:pPr>
      <w:numPr>
        <w:ilvl w:val="1"/>
        <w:numId w:val="1"/>
      </w:numPr>
      <w:spacing w:lineRule="auto" w:line="240" w:before="280" w:after="280"/>
      <w:outlineLvl w:val="1"/>
    </w:pPr>
    <w:rPr>
      <w:rFonts w:ascii="Times New Roman" w:hAnsi="Times New Roman" w:eastAsia="Times New Roman" w:cs="Times New Roman"/>
      <w:b/>
      <w:bCs/>
      <w:sz w:val="36"/>
      <w:szCs w:val="36"/>
    </w:rPr>
  </w:style>
  <w:style w:type="paragraph" w:styleId="Heading3">
    <w:name w:val="Heading 3"/>
    <w:basedOn w:val="Normal"/>
    <w:next w:val="TextBody"/>
    <w:qFormat/>
    <w:pPr>
      <w:numPr>
        <w:ilvl w:val="2"/>
        <w:numId w:val="1"/>
      </w:numPr>
      <w:spacing w:lineRule="auto" w:line="240" w:before="280" w:after="280"/>
      <w:outlineLvl w:val="2"/>
    </w:pPr>
    <w:rPr>
      <w:rFonts w:ascii="Times New Roman" w:hAnsi="Times New Roman" w:eastAsia="Times New Roman" w:cs="Times New Roman"/>
      <w:b/>
      <w:bCs/>
      <w:sz w:val="27"/>
      <w:szCs w:val="27"/>
    </w:rPr>
  </w:style>
  <w:style w:type="character" w:styleId="WW8Num1z0">
    <w:name w:val="WW8Num1z0"/>
    <w:qFormat/>
    <w:rPr>
      <w:rFonts w:ascii="Symbol" w:hAnsi="Symbol" w:cs="Symbol"/>
      <w:sz w:val="20"/>
      <w:szCs w:val="22"/>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sz w:val="20"/>
    </w:rPr>
  </w:style>
  <w:style w:type="character" w:styleId="WW8Num6z1">
    <w:name w:val="WW8Num6z1"/>
    <w:qFormat/>
    <w:rPr>
      <w:rFonts w:ascii="Courier New" w:hAnsi="Courier New" w:cs="Courier New"/>
      <w:sz w:val="20"/>
    </w:rPr>
  </w:style>
  <w:style w:type="character" w:styleId="WW8Num6z2">
    <w:name w:val="WW8Num6z2"/>
    <w:qFormat/>
    <w:rPr>
      <w:rFonts w:ascii="Wingdings" w:hAnsi="Wingdings" w:cs="Wingdings"/>
      <w:sz w:val="20"/>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sz w:val="20"/>
    </w:rPr>
  </w:style>
  <w:style w:type="character" w:styleId="WW8Num13z1">
    <w:name w:val="WW8Num13z1"/>
    <w:qFormat/>
    <w:rPr>
      <w:rFonts w:ascii="Courier New" w:hAnsi="Courier New" w:cs="Courier New"/>
      <w:sz w:val="20"/>
    </w:rPr>
  </w:style>
  <w:style w:type="character" w:styleId="WW8Num13z2">
    <w:name w:val="WW8Num13z2"/>
    <w:qFormat/>
    <w:rPr>
      <w:rFonts w:ascii="Wingdings" w:hAnsi="Wingdings" w:cs="Wingdings"/>
      <w:sz w:val="20"/>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WW8Num16z0">
    <w:name w:val="WW8Num16z0"/>
    <w:qFormat/>
    <w:rPr>
      <w:rFonts w:ascii="Calibri" w:hAnsi="Calibri" w:cs="Calibri"/>
      <w:lang w:eastAsia="ru-RU"/>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eastAsia="Times New Roman" w:cs="Calibri"/>
      <w:lang w:eastAsia="ru-RU"/>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sz w:val="20"/>
    </w:rPr>
  </w:style>
  <w:style w:type="character" w:styleId="WW8Num19z1">
    <w:name w:val="WW8Num19z1"/>
    <w:qFormat/>
    <w:rPr>
      <w:rFonts w:ascii="Courier New" w:hAnsi="Courier New" w:cs="Courier New"/>
      <w:sz w:val="20"/>
    </w:rPr>
  </w:style>
  <w:style w:type="character" w:styleId="WW8Num19z2">
    <w:name w:val="WW8Num19z2"/>
    <w:qFormat/>
    <w:rPr>
      <w:rFonts w:ascii="Wingdings" w:hAnsi="Wingdings" w:cs="Wingdings"/>
      <w:sz w:val="20"/>
    </w:rPr>
  </w:style>
  <w:style w:type="character" w:styleId="WW8Num20z0">
    <w:name w:val="WW8Num20z0"/>
    <w:qFormat/>
    <w:rPr>
      <w:rFonts w:ascii="Symbol" w:hAnsi="Symbol" w:cs="Symbol"/>
      <w:sz w:val="20"/>
    </w:rPr>
  </w:style>
  <w:style w:type="character" w:styleId="WW8Num20z1">
    <w:name w:val="WW8Num20z1"/>
    <w:qFormat/>
    <w:rPr>
      <w:rFonts w:ascii="Courier New" w:hAnsi="Courier New" w:cs="Courier New"/>
      <w:sz w:val="20"/>
    </w:rPr>
  </w:style>
  <w:style w:type="character" w:styleId="WW8Num20z2">
    <w:name w:val="WW8Num20z2"/>
    <w:qFormat/>
    <w:rPr>
      <w:rFonts w:ascii="Wingdings" w:hAnsi="Wingdings" w:cs="Wingdings"/>
      <w:sz w:val="20"/>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sz w:val="20"/>
    </w:rPr>
  </w:style>
  <w:style w:type="character" w:styleId="WW8Num22z1">
    <w:name w:val="WW8Num22z1"/>
    <w:qFormat/>
    <w:rPr>
      <w:rFonts w:ascii="Courier New" w:hAnsi="Courier New" w:cs="Courier New"/>
      <w:sz w:val="20"/>
    </w:rPr>
  </w:style>
  <w:style w:type="character" w:styleId="WW8Num22z2">
    <w:name w:val="WW8Num22z2"/>
    <w:qFormat/>
    <w:rPr>
      <w:rFonts w:ascii="Wingdings" w:hAnsi="Wingdings" w:cs="Wingdings"/>
      <w:sz w:val="20"/>
    </w:rPr>
  </w:style>
  <w:style w:type="character" w:styleId="Style12">
    <w:name w:val="Основной шрифт абзаца"/>
    <w:qFormat/>
    <w:rPr/>
  </w:style>
  <w:style w:type="character" w:styleId="Style13">
    <w:name w:val="Верхний колонтитул Знак"/>
    <w:basedOn w:val="Style12"/>
    <w:qFormat/>
    <w:rPr/>
  </w:style>
  <w:style w:type="character" w:styleId="Style14">
    <w:name w:val="Нижний колонтитул Знак"/>
    <w:basedOn w:val="Style12"/>
    <w:qFormat/>
    <w:rPr/>
  </w:style>
  <w:style w:type="character" w:styleId="InternetLink">
    <w:name w:val="Internet Link"/>
    <w:rPr>
      <w:color w:val="0000FF"/>
      <w:u w:val="single"/>
    </w:rPr>
  </w:style>
  <w:style w:type="character" w:styleId="Style15">
    <w:name w:val="Знак примечания"/>
    <w:qFormat/>
    <w:rPr>
      <w:sz w:val="16"/>
      <w:szCs w:val="16"/>
    </w:rPr>
  </w:style>
  <w:style w:type="character" w:styleId="Style16">
    <w:name w:val="Текст примечания Знак"/>
    <w:qFormat/>
    <w:rPr/>
  </w:style>
  <w:style w:type="character" w:styleId="Style17">
    <w:name w:val="Тема примечания Знак"/>
    <w:qFormat/>
    <w:rPr>
      <w:b/>
      <w:bCs/>
    </w:rPr>
  </w:style>
  <w:style w:type="character" w:styleId="Style18">
    <w:name w:val="Текст выноски Знак"/>
    <w:qFormat/>
    <w:rPr>
      <w:rFonts w:ascii="Segoe UI" w:hAnsi="Segoe UI" w:cs="Segoe UI"/>
      <w:sz w:val="18"/>
      <w:szCs w:val="18"/>
    </w:rPr>
  </w:style>
  <w:style w:type="character" w:styleId="StrongEmphasis">
    <w:name w:val="Strong Emphasis"/>
    <w:qFormat/>
    <w:rPr>
      <w:b/>
      <w:bCs/>
    </w:rPr>
  </w:style>
  <w:style w:type="character" w:styleId="2">
    <w:name w:val="Заголовок 2 Знак"/>
    <w:qFormat/>
    <w:rPr>
      <w:rFonts w:ascii="Times New Roman" w:hAnsi="Times New Roman" w:eastAsia="Times New Roman" w:cs="Times New Roman"/>
      <w:b/>
      <w:bCs/>
      <w:sz w:val="36"/>
      <w:szCs w:val="36"/>
    </w:rPr>
  </w:style>
  <w:style w:type="character" w:styleId="3">
    <w:name w:val="Заголовок 3 Знак"/>
    <w:qFormat/>
    <w:rPr>
      <w:rFonts w:ascii="Times New Roman" w:hAnsi="Times New Roman" w:eastAsia="Times New Roman" w:cs="Times New Roman"/>
      <w:b/>
      <w:bCs/>
      <w:sz w:val="27"/>
      <w:szCs w:val="27"/>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677" w:leader="none"/>
        <w:tab w:val="right" w:pos="9355" w:leader="none"/>
      </w:tabs>
      <w:spacing w:lineRule="auto" w:line="240" w:before="0" w:after="0"/>
    </w:pPr>
    <w:rPr/>
  </w:style>
  <w:style w:type="paragraph" w:styleId="Footer">
    <w:name w:val="Footer"/>
    <w:basedOn w:val="Normal"/>
    <w:pPr>
      <w:tabs>
        <w:tab w:val="center" w:pos="4677" w:leader="none"/>
        <w:tab w:val="right" w:pos="9355" w:leader="none"/>
      </w:tabs>
      <w:spacing w:lineRule="auto" w:line="240" w:before="0" w:after="0"/>
    </w:pPr>
    <w:rPr/>
  </w:style>
  <w:style w:type="paragraph" w:styleId="Style19">
    <w:name w:val="Текст примечания"/>
    <w:basedOn w:val="Normal"/>
    <w:qFormat/>
    <w:pPr/>
    <w:rPr>
      <w:sz w:val="20"/>
      <w:szCs w:val="20"/>
    </w:rPr>
  </w:style>
  <w:style w:type="paragraph" w:styleId="Style20">
    <w:name w:val="Тема примечания"/>
    <w:basedOn w:val="Style19"/>
    <w:next w:val="Style19"/>
    <w:qFormat/>
    <w:pPr/>
    <w:rPr>
      <w:b/>
      <w:bCs/>
    </w:rPr>
  </w:style>
  <w:style w:type="paragraph" w:styleId="Style21">
    <w:name w:val="Текст выноски"/>
    <w:basedOn w:val="Normal"/>
    <w:qFormat/>
    <w:pPr>
      <w:spacing w:lineRule="auto" w:line="240" w:before="0" w:after="0"/>
    </w:pPr>
    <w:rPr>
      <w:rFonts w:ascii="Segoe UI" w:hAnsi="Segoe UI" w:cs="Segoe UI"/>
      <w:sz w:val="18"/>
      <w:szCs w:val="18"/>
    </w:rPr>
  </w:style>
  <w:style w:type="paragraph" w:styleId="Style22">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Tp">
    <w:name w:val="t-p"/>
    <w:basedOn w:val="Normal"/>
    <w:qFormat/>
    <w:pPr>
      <w:spacing w:lineRule="auto" w:line="240" w:before="280" w:after="280"/>
    </w:pPr>
    <w:rPr>
      <w:rFonts w:ascii="Times New Roman" w:hAnsi="Times New Roman" w:eastAsia="Times New Roman" w:cs="Times New Roman"/>
      <w:sz w:val="24"/>
      <w:szCs w:val="24"/>
    </w:rPr>
  </w:style>
  <w:style w:type="paragraph" w:styleId="Stkreset">
    <w:name w:val="stk-reset"/>
    <w:basedOn w:val="Normal"/>
    <w:qFormat/>
    <w:pPr>
      <w:spacing w:lineRule="auto" w:line="240" w:before="280" w:after="280"/>
    </w:pPr>
    <w:rPr>
      <w:rFonts w:ascii="Times New Roman" w:hAnsi="Times New Roman" w:eastAsia="Times New Roman" w:cs="Times New Roman"/>
      <w:sz w:val="24"/>
      <w:szCs w:val="24"/>
    </w:rPr>
  </w:style>
  <w:style w:type="paragraph" w:styleId="Stklistitem">
    <w:name w:val="stk-list-item"/>
    <w:basedOn w:val="Normal"/>
    <w:qFormat/>
    <w:pPr>
      <w:spacing w:lineRule="auto" w:line="240" w:before="280" w:after="280"/>
    </w:pPr>
    <w:rPr>
      <w:rFonts w:ascii="Times New Roman" w:hAnsi="Times New Roman" w:eastAsia="Times New Roman" w:cs="Times New Roman"/>
      <w:sz w:val="24"/>
      <w:szCs w:val="24"/>
    </w:rPr>
  </w:style>
  <w:style w:type="paragraph" w:styleId="Offersblocklistitem">
    <w:name w:val="offers-block__listitem"/>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0AF736E00F0BB2F6BF1C445A8BEA8CA85834AABE6063C538DDF5BCEA6C8B2CA5188B08029E7DCBBF222C95A7508751A78FB07BE73221582E653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2024-12-28T08:49:00Z</dcterms:created>
  <dc:creator/>
  <dc:description/>
  <dc:language>ru-RU</dc:language>
  <cp:lastModifiedBy/>
  <cp:lastPrinted>2022-10-21T13:01:00Z</cp:lastPrinted>
  <dcterms:modified xsi:type="dcterms:W3CDTF">2024-12-28T08:50:00Z</dcterms:modified>
  <cp:revision>3</cp:revision>
  <dc:subject/>
  <dc:title/>
</cp:coreProperties>
</file>